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proofErr w:type="spellStart"/>
      <w:r w:rsidR="00E73DE0">
        <w:rPr>
          <w:sz w:val="26"/>
          <w:szCs w:val="26"/>
          <w:lang w:val="ru-RU"/>
        </w:rPr>
        <w:t>департаментаЕ.А.</w:t>
      </w:r>
      <w:r>
        <w:rPr>
          <w:sz w:val="26"/>
          <w:szCs w:val="26"/>
          <w:lang w:val="ru-RU"/>
        </w:rPr>
        <w:t>Ильина</w:t>
      </w:r>
      <w:proofErr w:type="spellEnd"/>
    </w:p>
    <w:p w:rsidR="0072167F" w:rsidRDefault="0072167F" w:rsidP="004A3736">
      <w:pPr>
        <w:tabs>
          <w:tab w:val="left" w:pos="7371"/>
        </w:tabs>
        <w:rPr>
          <w:b w:val="0"/>
          <w:szCs w:val="24"/>
        </w:rPr>
      </w:pP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50,68,100,157,241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145,148,233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2,5,7,15,18,27,29,30,35,44,47,54,56,62,65,74,82,85,91,92,93,95,100,104,106,107,109,112,114,126,130,131,135,139,142,144,149,151,155,174,176,183,203,204,205,207,222,232, 233, 235,240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26,57,91,110,182,207,233,МОУ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12,18,56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МОУ СШ №№ 6,40,44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lastRenderedPageBreak/>
              <w:t>Формирующее оценивание в работе учителя-</w:t>
            </w:r>
            <w:r w:rsidRPr="0072167F">
              <w:rPr>
                <w:b w:val="0"/>
                <w:color w:val="000000"/>
                <w:sz w:val="26"/>
                <w:szCs w:val="26"/>
              </w:rPr>
              <w:lastRenderedPageBreak/>
              <w:t>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78,100,179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5,7,15, 36, 42, 67, 173, 193, 211,225,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10,15, 17, 18, 23, 28, 31, 43, 49, 57, 58, 59, 68, 71, 87, 88, 89, 90,99, МДОУ №№ 55, 95, 167, 212, 227, 228, 235, МОУ «Начальная школа – детский сад№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«ГЦРО», МОУ «Гимназия №1», МОУ «Гимназия №2», МОУ «Гимназия №3» МОУ «Лицей № 86», МОУ СШ №№ 2, 12, 30, 36, 43, 58, 59, 76, 77, 80, 81, 87, МОУ «Провинциальный колледж», МОУ ДО «МУЦ Кировского и Ленинского районов», МОУ ДО «МУЦ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района», МОУ КОЦ «ЛАД», МОУ ДО ДЮЦ «Ярославич», МОУ ДО «Детский морской центр»,МОУ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(прикрепленныеМОУ СШ №31,8,75)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6,23,78,89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23,40,66,73,88,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86»,МОУ СШ №№4, 8, 40, 42, 75, 76,80,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3,10, 33, 42, 46, 89, ОСОШ № 97,МОУ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№1», «Гимназия №2», «Гимназия №3»,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4680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5C9A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80"/>
    <w:rPr>
      <w:b/>
      <w:sz w:val="24"/>
    </w:rPr>
  </w:style>
  <w:style w:type="paragraph" w:styleId="1">
    <w:name w:val="heading 1"/>
    <w:basedOn w:val="a"/>
    <w:next w:val="a"/>
    <w:qFormat/>
    <w:rsid w:val="003B4680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4680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3B4680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3B4680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rsid w:val="003B4680"/>
    <w:pPr>
      <w:ind w:firstLine="851"/>
    </w:pPr>
    <w:rPr>
      <w:b w:val="0"/>
    </w:rPr>
  </w:style>
  <w:style w:type="paragraph" w:styleId="3">
    <w:name w:val="Body Text Indent 3"/>
    <w:basedOn w:val="a"/>
    <w:rsid w:val="003B4680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CA7-6A84-4E0D-9ED7-EEC5647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пк</cp:lastModifiedBy>
  <cp:revision>2</cp:revision>
  <cp:lastPrinted>2018-02-08T06:28:00Z</cp:lastPrinted>
  <dcterms:created xsi:type="dcterms:W3CDTF">2018-12-06T13:03:00Z</dcterms:created>
  <dcterms:modified xsi:type="dcterms:W3CDTF">2018-12-06T13:03:00Z</dcterms:modified>
</cp:coreProperties>
</file>